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74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8"/>
        <w:gridCol w:w="2091"/>
        <w:gridCol w:w="2956"/>
      </w:tblGrid>
      <w:tr>
        <w:trPr/>
        <w:tc>
          <w:tcPr>
            <w:tcW w:w="2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4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53" w:after="300"/>
              <w:jc w:val="center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UNITED STATES SECURITIES AND EXCHANGE COMMISSION</w:t>
            </w:r>
          </w:p>
          <w:p>
            <w:pPr>
              <w:pStyle w:val="TableContents"/>
              <w:bidi w:val="0"/>
              <w:spacing w:lineRule="auto" w:line="312" w:before="0" w:after="30"/>
              <w:jc w:val="center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Washington, D.C. 20549</w:t>
            </w:r>
          </w:p>
        </w:tc>
      </w:tr>
      <w:tr>
        <w:trPr/>
        <w:tc>
          <w:tcPr>
            <w:tcW w:w="74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7425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42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33" w:before="53" w:after="300"/>
              <w:jc w:val="center"/>
              <w:rPr>
                <w:rFonts w:ascii="Times New Roman;serif" w:hAnsi="Times New Roman;serif"/>
                <w:b/>
                <w:color w:val="000000"/>
                <w:sz w:val="28"/>
              </w:rPr>
            </w:pPr>
            <w:r>
              <w:rPr>
                <w:rFonts w:ascii="Times New Roman;serif" w:hAnsi="Times New Roman;serif"/>
                <w:b/>
                <w:color w:val="000000"/>
                <w:sz w:val="28"/>
              </w:rPr>
              <w:t>SCHEDULE 14A</w:t>
            </w:r>
          </w:p>
          <w:p>
            <w:pPr>
              <w:pStyle w:val="TableContents"/>
              <w:bidi w:val="0"/>
              <w:spacing w:lineRule="auto" w:line="312" w:before="0" w:after="0"/>
              <w:jc w:val="center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Proxy Statement Pursuant to Section 14(a) of the</w:t>
            </w:r>
          </w:p>
          <w:p>
            <w:pPr>
              <w:pStyle w:val="TableContents"/>
              <w:bidi w:val="0"/>
              <w:spacing w:lineRule="auto" w:line="312" w:before="0" w:after="30"/>
              <w:jc w:val="center"/>
              <w:rPr>
                <w:rFonts w:ascii="Times New Roman;serif" w:hAnsi="Times New Roman;serif"/>
                <w:b/>
                <w:color w:val="000000"/>
                <w:sz w:val="24"/>
              </w:rPr>
            </w:pPr>
            <w:r>
              <w:rPr>
                <w:rFonts w:ascii="Times New Roman;serif" w:hAnsi="Times New Roman;serif"/>
                <w:b/>
                <w:color w:val="000000"/>
                <w:sz w:val="24"/>
              </w:rPr>
              <w:t>Securities Exchange Act of 1934</w:t>
            </w:r>
          </w:p>
        </w:tc>
      </w:tr>
      <w:tr>
        <w:trPr/>
        <w:tc>
          <w:tcPr>
            <w:tcW w:w="742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53" w:after="30"/>
              <w:jc w:val="center"/>
              <w:rPr/>
            </w:pPr>
            <w:r>
              <w:rPr/>
            </w:r>
          </w:p>
        </w:tc>
      </w:tr>
    </w:tbl>
    <w:p>
      <w:pPr>
        <w:pStyle w:val="TextBody"/>
        <w:bidi w:val="0"/>
        <w:spacing w:lineRule="auto" w:line="312" w:before="300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312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Preliminary Proxy Statement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/>
          <w:color w:val="000000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Definitive Proxy Statement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☒ </w:t>
      </w:r>
      <w:r>
        <w:rPr>
          <w:rFonts w:ascii="Times New Roman;serif" w:hAnsi="Times New Roman;serif"/>
          <w:b w:val="false"/>
          <w:color w:val="000000"/>
          <w:sz w:val="20"/>
        </w:rPr>
        <w:t xml:space="preserve">Definitive Additional Materials </w:t>
      </w:r>
    </w:p>
    <w:p>
      <w:pPr>
        <w:pStyle w:val="TextBody"/>
        <w:bidi w:val="0"/>
        <w:spacing w:lineRule="auto" w:line="333" w:before="0" w:after="60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Soliciting Material Pursuant to §240.14a-12</w:t>
      </w:r>
    </w:p>
    <w:p>
      <w:pPr>
        <w:pStyle w:val="TextBody"/>
        <w:bidi w:val="0"/>
        <w:spacing w:lineRule="auto" w:line="312" w:before="0" w:after="0"/>
        <w:jc w:val="center"/>
        <w:rPr>
          <w:rFonts w:ascii="Times New Roman;serif" w:hAnsi="Times New Roman;serif"/>
          <w:b/>
          <w:color w:val="000000"/>
          <w:sz w:val="48"/>
        </w:rPr>
      </w:pPr>
      <w:r>
        <w:rPr>
          <w:rFonts w:ascii="Times New Roman;serif" w:hAnsi="Times New Roman;serif"/>
          <w:b/>
          <w:color w:val="000000"/>
          <w:sz w:val="48"/>
        </w:rPr>
        <w:t>WEBTOON Entertainment Inc.</w:t>
      </w:r>
    </w:p>
    <w:p>
      <w:pPr>
        <w:pStyle w:val="TextBody"/>
        <w:bidi w:val="0"/>
        <w:spacing w:lineRule="auto" w:line="333" w:before="0" w:after="18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333" w:before="0" w:after="30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uto" w:line="312" w:before="0" w:after="0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the appropriate box):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☒ </w:t>
      </w:r>
      <w:r>
        <w:rPr>
          <w:rFonts w:ascii="Times New Roman;serif" w:hAnsi="Times New Roman;serif"/>
          <w:b w:val="false"/>
          <w:color w:val="000000"/>
          <w:sz w:val="20"/>
        </w:rPr>
        <w:t>No fee required.</w:t>
      </w:r>
    </w:p>
    <w:p>
      <w:pPr>
        <w:pStyle w:val="TextBody"/>
        <w:bidi w:val="0"/>
        <w:spacing w:lineRule="auto" w:line="31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paid previously with preliminary materials.</w:t>
      </w:r>
    </w:p>
    <w:p>
      <w:pPr>
        <w:pStyle w:val="TextBody"/>
        <w:bidi w:val="0"/>
        <w:spacing w:lineRule="auto" w:line="333" w:before="0" w:after="30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 25(b) per Exchange Act Rules 14a-6(i)(1) and 0-11.</w:t>
      </w:r>
    </w:p>
    <w:p>
      <w:pPr>
        <w:pStyle w:val="TextBody"/>
        <w:bidi w:val="0"/>
        <w:spacing w:before="0" w:after="300"/>
        <w:jc w:val="both"/>
        <w:rPr/>
      </w:pPr>
      <w:r>
        <w:rPr/>
      </w:r>
    </w:p>
    <w:p>
      <w:pPr>
        <w:pStyle w:val="TextBody"/>
        <w:bidi w:val="0"/>
        <w:spacing w:before="0" w:after="300"/>
        <w:jc w:val="both"/>
        <w:rPr/>
      </w:pPr>
      <w:r>
        <w:rPr/>
      </w:r>
    </w:p>
    <w:p>
      <w:pPr>
        <w:pStyle w:val="TextBody"/>
        <w:bidi w:val="0"/>
        <w:spacing w:before="0" w:after="300"/>
        <w:jc w:val="both"/>
        <w:rPr/>
      </w:pPr>
      <w:r>
        <w:rPr/>
      </w:r>
    </w:p>
    <w:p>
      <w:pPr>
        <w:pStyle w:val="TextBody"/>
        <w:bidi w:val="0"/>
        <w:spacing w:before="0" w:after="300"/>
        <w:jc w:val="both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300"/>
        <w:jc w:val="center"/>
        <w:rPr/>
      </w:pPr>
      <w:r>
        <w:rPr/>
      </w:r>
    </w:p>
    <w:p>
      <w:pPr>
        <w:pStyle w:val="TextBody"/>
        <w:bidi w:val="0"/>
        <w:spacing w:before="0" w:after="300"/>
        <w:jc w:val="center"/>
        <w:rPr/>
      </w:pPr>
      <w:r>
        <w:rPr/>
        <w:drawing>
          <wp:inline distT="0" distB="0" distL="0" distR="0">
            <wp:extent cx="6391275" cy="82677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26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30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300"/>
        <w:jc w:val="both"/>
        <w:rPr/>
      </w:pPr>
      <w:r>
        <w:rPr/>
      </w:r>
    </w:p>
    <w:p>
      <w:pPr>
        <w:pStyle w:val="TextBody"/>
        <w:bidi w:val="0"/>
        <w:spacing w:before="0" w:after="300"/>
        <w:jc w:val="center"/>
        <w:rPr/>
      </w:pPr>
      <w:r>
        <w:rPr/>
        <w:drawing>
          <wp:inline distT="0" distB="0" distL="0" distR="0">
            <wp:extent cx="6391275" cy="82677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26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132</Words>
  <Characters>725</Characters>
  <CharactersWithSpaces>838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